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C6" w:rsidRDefault="00FA2720" w:rsidP="00FA2720">
      <w:pPr>
        <w:pStyle w:val="berschrift2"/>
        <w:rPr>
          <w:b/>
          <w:i/>
          <w:color w:val="FF0000"/>
          <w:sz w:val="44"/>
          <w:szCs w:val="44"/>
        </w:rPr>
      </w:pPr>
      <w:proofErr w:type="spellStart"/>
      <w:r>
        <w:rPr>
          <w:b/>
          <w:i/>
          <w:color w:val="FF0000"/>
          <w:sz w:val="44"/>
          <w:szCs w:val="44"/>
        </w:rPr>
        <w:t>Hyponatriämie</w:t>
      </w:r>
      <w:proofErr w:type="spellEnd"/>
    </w:p>
    <w:p w:rsidR="00FA2720" w:rsidRDefault="00FA2720" w:rsidP="00FA2720"/>
    <w:p w:rsidR="00FA2720" w:rsidRPr="00FA2720" w:rsidRDefault="00FA2720" w:rsidP="00FA2720">
      <w:pPr>
        <w:spacing w:after="0" w:line="240" w:lineRule="auto"/>
        <w:rPr>
          <w:rFonts w:ascii="Times New Roman" w:eastAsia="Times New Roman" w:hAnsi="Times New Roman" w:cs="Times New Roman"/>
          <w:color w:val="0000FF"/>
          <w:sz w:val="32"/>
          <w:szCs w:val="32"/>
          <w:u w:val="single"/>
          <w:lang w:eastAsia="de-DE"/>
        </w:rPr>
      </w:pPr>
      <w:r w:rsidRPr="00FA2720">
        <w:rPr>
          <w:sz w:val="32"/>
          <w:szCs w:val="32"/>
        </w:rPr>
        <w:t>Die Diagnose gestaltet sich aufgrund der vielfältigen, unspezifischen Symptome oftmals schwierig. Diese reichen von Kopfschmerzen, Übelkeit und Erbrechen über psychiatrische, neurologische und kognitive Beschwerden bis hin zu lebensbedrohlichen Symptomen wie Herzstillstand oder Koma.</w:t>
      </w:r>
      <w:r w:rsidRPr="00FA2720">
        <w:rPr>
          <w:rFonts w:ascii="Times New Roman" w:eastAsia="Times New Roman" w:hAnsi="Times New Roman" w:cs="Times New Roman"/>
          <w:sz w:val="32"/>
          <w:szCs w:val="32"/>
          <w:lang w:eastAsia="de-DE"/>
        </w:rPr>
        <w:fldChar w:fldCharType="begin"/>
      </w:r>
      <w:r w:rsidRPr="00FA2720">
        <w:rPr>
          <w:rFonts w:ascii="Times New Roman" w:eastAsia="Times New Roman" w:hAnsi="Times New Roman" w:cs="Times New Roman"/>
          <w:sz w:val="32"/>
          <w:szCs w:val="32"/>
          <w:lang w:eastAsia="de-DE"/>
        </w:rPr>
        <w:instrText xml:space="preserve"> HYPERLINK "https://www.coliquio.de/images/infocenter/upload/Ots_Samsca/201650_Abb1.pdf" \l "page=1" \o "Seite 1" </w:instrText>
      </w:r>
      <w:r w:rsidRPr="00FA2720">
        <w:rPr>
          <w:rFonts w:ascii="Times New Roman" w:eastAsia="Times New Roman" w:hAnsi="Times New Roman" w:cs="Times New Roman"/>
          <w:sz w:val="32"/>
          <w:szCs w:val="32"/>
          <w:lang w:eastAsia="de-DE"/>
        </w:rPr>
        <w:fldChar w:fldCharType="separate"/>
      </w:r>
    </w:p>
    <w:p w:rsidR="00FA2720" w:rsidRDefault="00FA2720" w:rsidP="00FA2720">
      <w:pPr>
        <w:spacing w:after="0" w:line="240" w:lineRule="auto"/>
        <w:rPr>
          <w:rFonts w:ascii="Times New Roman" w:eastAsia="Times New Roman" w:hAnsi="Times New Roman" w:cs="Times New Roman"/>
          <w:sz w:val="32"/>
          <w:szCs w:val="32"/>
          <w:lang w:eastAsia="de-DE"/>
        </w:rPr>
      </w:pPr>
      <w:r w:rsidRPr="00FA2720">
        <w:rPr>
          <w:rFonts w:ascii="Times New Roman" w:eastAsia="Times New Roman" w:hAnsi="Times New Roman" w:cs="Times New Roman"/>
          <w:sz w:val="32"/>
          <w:szCs w:val="32"/>
          <w:lang w:eastAsia="de-DE"/>
        </w:rPr>
        <w:fldChar w:fldCharType="end"/>
      </w:r>
    </w:p>
    <w:p w:rsidR="00FA2720" w:rsidRDefault="00FA2720" w:rsidP="00FA2720">
      <w:pPr>
        <w:spacing w:after="0" w:line="240" w:lineRule="auto"/>
      </w:pPr>
      <w:r w:rsidRPr="00FA2720">
        <w:rPr>
          <w:noProof/>
          <w:highlight w:val="yellow"/>
          <w:lang w:eastAsia="de-DE"/>
        </w:rPr>
        <w:drawing>
          <wp:inline distT="0" distB="0" distL="0" distR="0" wp14:anchorId="0ECCA321" wp14:editId="5B4C146C">
            <wp:extent cx="5613400" cy="4035579"/>
            <wp:effectExtent l="0" t="0" r="6350" b="3175"/>
            <wp:docPr id="2" name="Bild 2" descr="Abbildung 3 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bildung 3 downloa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227" cy="4060617"/>
                    </a:xfrm>
                    <a:prstGeom prst="rect">
                      <a:avLst/>
                    </a:prstGeom>
                    <a:noFill/>
                    <a:ln>
                      <a:noFill/>
                    </a:ln>
                  </pic:spPr>
                </pic:pic>
              </a:graphicData>
            </a:graphic>
          </wp:inline>
        </w:drawing>
      </w:r>
    </w:p>
    <w:p w:rsidR="00FA2720" w:rsidRDefault="00FA2720" w:rsidP="00FA2720">
      <w:pPr>
        <w:spacing w:after="0" w:line="240" w:lineRule="auto"/>
      </w:pPr>
    </w:p>
    <w:p w:rsidR="00FA2720" w:rsidRDefault="00FA2720" w:rsidP="00FA2720">
      <w:pPr>
        <w:spacing w:after="0" w:line="240" w:lineRule="auto"/>
        <w:rPr>
          <w:sz w:val="32"/>
          <w:szCs w:val="32"/>
        </w:rPr>
      </w:pPr>
      <w:proofErr w:type="spellStart"/>
      <w:r>
        <w:rPr>
          <w:sz w:val="32"/>
          <w:szCs w:val="32"/>
        </w:rPr>
        <w:t>Hyponatriämie</w:t>
      </w:r>
      <w:proofErr w:type="spellEnd"/>
      <w:r>
        <w:rPr>
          <w:sz w:val="32"/>
          <w:szCs w:val="32"/>
        </w:rPr>
        <w:t xml:space="preserve"> ist in unserem Fachgebiet insbesondere als Folge von Gabe von SSRI – ggfls. In Kombination mit CBZ – zu beachten und dann schwierig von der Ursprungssymptomatik, der Indikation für diese Kombination abzugrenzen.</w:t>
      </w:r>
    </w:p>
    <w:p w:rsidR="00FA2720" w:rsidRDefault="00FA2720" w:rsidP="00FA2720">
      <w:pPr>
        <w:spacing w:after="0" w:line="240" w:lineRule="auto"/>
        <w:rPr>
          <w:sz w:val="32"/>
          <w:szCs w:val="32"/>
        </w:rPr>
      </w:pPr>
    </w:p>
    <w:p w:rsidR="00FA2720" w:rsidRDefault="00FA2720" w:rsidP="00FA2720">
      <w:pPr>
        <w:spacing w:after="0" w:line="240" w:lineRule="auto"/>
        <w:rPr>
          <w:sz w:val="32"/>
          <w:szCs w:val="32"/>
        </w:rPr>
      </w:pPr>
      <w:r>
        <w:rPr>
          <w:sz w:val="32"/>
          <w:szCs w:val="32"/>
        </w:rPr>
        <w:t>Regelmäßige Laborkontrollen der Elektrolyte sind angeraten.</w:t>
      </w:r>
    </w:p>
    <w:p w:rsidR="00FA2720" w:rsidRDefault="00FA2720" w:rsidP="00FA2720">
      <w:pPr>
        <w:spacing w:after="0" w:line="240" w:lineRule="auto"/>
        <w:rPr>
          <w:sz w:val="32"/>
          <w:szCs w:val="32"/>
        </w:rPr>
      </w:pPr>
    </w:p>
    <w:p w:rsidR="00D77CB0" w:rsidRPr="006B46EB" w:rsidRDefault="00D77CB0" w:rsidP="00D77CB0">
      <w:pPr>
        <w:spacing w:after="0" w:line="240" w:lineRule="auto"/>
        <w:rPr>
          <w:rFonts w:ascii="Calibri" w:hAnsi="Calibri" w:cs="Calibri"/>
          <w:sz w:val="32"/>
          <w:szCs w:val="32"/>
        </w:rPr>
      </w:pPr>
      <w:r w:rsidRPr="006B46EB">
        <w:rPr>
          <w:rFonts w:ascii="Calibri" w:hAnsi="Calibri" w:cs="Calibri"/>
          <w:b/>
          <w:bCs/>
          <w:sz w:val="32"/>
          <w:szCs w:val="32"/>
        </w:rPr>
        <w:t xml:space="preserve">Die Symptome </w:t>
      </w:r>
      <w:r w:rsidRPr="006B46EB">
        <w:rPr>
          <w:rFonts w:ascii="Calibri" w:hAnsi="Calibri" w:cs="Calibri"/>
          <w:sz w:val="32"/>
          <w:szCs w:val="32"/>
        </w:rPr>
        <w:t xml:space="preserve">können neurologischen und/oder psychiatrischen Erkrankungen ähneln, so dass insbesondere bei beginnenden Symptomen Verwechslungen möglich sind. Häufig besteht am Anfang </w:t>
      </w:r>
      <w:r w:rsidRPr="006B46EB">
        <w:rPr>
          <w:rFonts w:ascii="Calibri" w:hAnsi="Calibri" w:cs="Calibri"/>
          <w:sz w:val="32"/>
          <w:szCs w:val="32"/>
        </w:rPr>
        <w:lastRenderedPageBreak/>
        <w:t xml:space="preserve">Müdigkeit, Abgeschlagenheit, Gangunsicherheit und Konzentrationsstörungen. Es kann dann aber zu epileptischen Anfällen und Schläfrigkeit, schließlich  zum Koma und zum Tod kommen.  Diese Symptome entstehen letztlich durch ein Hirnödem, also eine Wassereinlagerung in das Hirngewebe, besonders im Hirnstammbereich. Je schneller die </w:t>
      </w:r>
      <w:proofErr w:type="spellStart"/>
      <w:r w:rsidRPr="006B46EB">
        <w:rPr>
          <w:rFonts w:ascii="Calibri" w:hAnsi="Calibri" w:cs="Calibri"/>
          <w:sz w:val="32"/>
          <w:szCs w:val="32"/>
        </w:rPr>
        <w:t>Hyponatriämie</w:t>
      </w:r>
      <w:proofErr w:type="spellEnd"/>
      <w:r w:rsidRPr="006B46EB">
        <w:rPr>
          <w:rFonts w:ascii="Calibri" w:hAnsi="Calibri" w:cs="Calibri"/>
          <w:sz w:val="32"/>
          <w:szCs w:val="32"/>
        </w:rPr>
        <w:t xml:space="preserve"> entsteht und je schneller sie korrigiert wird, umso häufiger und schwerer sind die Symptome</w:t>
      </w:r>
    </w:p>
    <w:tbl>
      <w:tblPr>
        <w:tblW w:w="0" w:type="auto"/>
        <w:tblCellSpacing w:w="0" w:type="dxa"/>
        <w:tblCellMar>
          <w:top w:w="100" w:type="dxa"/>
          <w:left w:w="100" w:type="dxa"/>
          <w:bottom w:w="100" w:type="dxa"/>
          <w:right w:w="100" w:type="dxa"/>
        </w:tblCellMar>
        <w:tblLook w:val="04A0" w:firstRow="1" w:lastRow="0" w:firstColumn="1" w:lastColumn="0" w:noHBand="0" w:noVBand="1"/>
      </w:tblPr>
      <w:tblGrid>
        <w:gridCol w:w="3877"/>
        <w:gridCol w:w="5195"/>
      </w:tblGrid>
      <w:tr w:rsidR="00D77CB0" w:rsidRPr="00D77CB0" w:rsidTr="00D77CB0">
        <w:trPr>
          <w:gridAfter w:val="1"/>
          <w:tblCellSpacing w:w="0" w:type="dxa"/>
        </w:trPr>
        <w:tc>
          <w:tcPr>
            <w:tcW w:w="0" w:type="auto"/>
            <w:vAlign w:val="center"/>
            <w:hideMark/>
          </w:tcPr>
          <w:p w:rsidR="00D77CB0" w:rsidRPr="00D77CB0" w:rsidRDefault="00D77CB0" w:rsidP="00D77C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tc>
      </w:tr>
      <w:tr w:rsidR="00D77CB0" w:rsidRPr="00D77CB0" w:rsidTr="00D77CB0">
        <w:trPr>
          <w:tblCellSpacing w:w="0" w:type="dxa"/>
        </w:trPr>
        <w:tc>
          <w:tcPr>
            <w:tcW w:w="0" w:type="auto"/>
            <w:vAlign w:val="center"/>
            <w:hideMark/>
          </w:tcPr>
          <w:p w:rsidR="00D77CB0" w:rsidRPr="00D77CB0" w:rsidRDefault="00D77CB0" w:rsidP="00D77C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77CB0">
              <w:rPr>
                <w:rFonts w:ascii="Times New Roman" w:eastAsia="Times New Roman" w:hAnsi="Times New Roman" w:cs="Times New Roman"/>
                <w:b/>
                <w:bCs/>
                <w:sz w:val="36"/>
                <w:szCs w:val="36"/>
                <w:lang w:eastAsia="de-DE"/>
              </w:rPr>
              <w:t>Nicht immer treten die Symptome dramatisch auf. Das Krankheitsbild kann sich auch ganz allmählich entwickeln</w:t>
            </w:r>
          </w:p>
        </w:tc>
        <w:tc>
          <w:tcPr>
            <w:tcW w:w="0" w:type="auto"/>
            <w:vAlign w:val="center"/>
            <w:hideMark/>
          </w:tcPr>
          <w:p w:rsidR="00D77CB0" w:rsidRPr="00D77CB0" w:rsidRDefault="00D77CB0" w:rsidP="00D77CB0">
            <w:pPr>
              <w:spacing w:after="0" w:line="240" w:lineRule="auto"/>
              <w:rPr>
                <w:rFonts w:ascii="Calibri" w:eastAsia="Times New Roman" w:hAnsi="Calibri" w:cs="Calibri"/>
                <w:sz w:val="32"/>
                <w:szCs w:val="32"/>
                <w:lang w:eastAsia="de-DE"/>
              </w:rPr>
            </w:pPr>
            <w:r w:rsidRPr="00D77CB0">
              <w:rPr>
                <w:rFonts w:ascii="Calibri" w:eastAsia="Times New Roman" w:hAnsi="Calibri" w:cs="Calibri"/>
                <w:sz w:val="32"/>
                <w:szCs w:val="32"/>
                <w:lang w:eastAsia="de-DE"/>
              </w:rPr>
              <w:t xml:space="preserve">Folgen dieses Natriumverlusts sind abhängig von der Höhe des Natriummangels und von der Schnelligkeit, mit der die Störung auftritt. Zusammenfassend können folgende Symptome auftreten: </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Abnahme des Herzschlagvolumens</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Abnahme der Koronar- und Organdurchblutung</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Abnahme des Urinvolumens und der Natriumausscheidung</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 xml:space="preserve">starkes Durstempfinden </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D77CB0">
                <w:rPr>
                  <w:rFonts w:ascii="Times New Roman" w:eastAsia="Times New Roman" w:hAnsi="Times New Roman" w:cs="Times New Roman"/>
                  <w:color w:val="0000FF"/>
                  <w:sz w:val="24"/>
                  <w:szCs w:val="24"/>
                  <w:u w:val="single"/>
                  <w:lang w:eastAsia="de-DE"/>
                </w:rPr>
                <w:t>Anorexie</w:t>
              </w:r>
            </w:hyperlink>
            <w:r w:rsidRPr="00D77CB0">
              <w:rPr>
                <w:rFonts w:ascii="Times New Roman" w:eastAsia="Times New Roman" w:hAnsi="Times New Roman" w:cs="Times New Roman"/>
                <w:sz w:val="24"/>
                <w:szCs w:val="24"/>
                <w:lang w:eastAsia="de-DE"/>
              </w:rPr>
              <w:t xml:space="preserve"> (Abmagerung)</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Störungen des Geschmacksempfindens</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 xml:space="preserve">Muskelkrämpfe, Oberbauchkrämpfe, Krampfanfälle </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D77CB0">
                <w:rPr>
                  <w:rFonts w:ascii="Times New Roman" w:eastAsia="Times New Roman" w:hAnsi="Times New Roman" w:cs="Times New Roman"/>
                  <w:color w:val="0000FF"/>
                  <w:sz w:val="24"/>
                  <w:szCs w:val="24"/>
                  <w:u w:val="single"/>
                  <w:lang w:eastAsia="de-DE"/>
                </w:rPr>
                <w:t>Kopfschmerzen</w:t>
              </w:r>
            </w:hyperlink>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Erschöpfung</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Bewusstseinsstörungen</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Schockzustände</w:t>
            </w:r>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D77CB0">
                <w:rPr>
                  <w:rFonts w:ascii="Times New Roman" w:eastAsia="Times New Roman" w:hAnsi="Times New Roman" w:cs="Times New Roman"/>
                  <w:color w:val="0000FF"/>
                  <w:sz w:val="24"/>
                  <w:szCs w:val="24"/>
                  <w:u w:val="single"/>
                  <w:lang w:eastAsia="de-DE"/>
                </w:rPr>
                <w:t>Koma</w:t>
              </w:r>
            </w:hyperlink>
          </w:p>
          <w:p w:rsidR="00D77CB0" w:rsidRPr="00D77CB0" w:rsidRDefault="00D77CB0" w:rsidP="00D77C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77CB0">
              <w:rPr>
                <w:rFonts w:ascii="Times New Roman" w:eastAsia="Times New Roman" w:hAnsi="Times New Roman" w:cs="Times New Roman"/>
                <w:sz w:val="24"/>
                <w:szCs w:val="24"/>
                <w:lang w:eastAsia="de-DE"/>
              </w:rPr>
              <w:t>neurologische und zerebrale Störungen</w:t>
            </w:r>
          </w:p>
        </w:tc>
      </w:tr>
    </w:tbl>
    <w:p w:rsidR="00D77CB0" w:rsidRDefault="00D77CB0" w:rsidP="00D77CB0">
      <w:pPr>
        <w:spacing w:after="0" w:line="240" w:lineRule="auto"/>
        <w:rPr>
          <w:rFonts w:ascii="Arial" w:hAnsi="Arial" w:cs="Arial"/>
          <w:sz w:val="20"/>
          <w:szCs w:val="20"/>
        </w:rPr>
      </w:pPr>
    </w:p>
    <w:p w:rsidR="00D77CB0" w:rsidRDefault="00D77CB0" w:rsidP="00D77CB0">
      <w:pPr>
        <w:spacing w:after="0" w:line="240" w:lineRule="auto"/>
        <w:rPr>
          <w:rFonts w:ascii="Arial" w:hAnsi="Arial" w:cs="Arial"/>
          <w:sz w:val="20"/>
          <w:szCs w:val="20"/>
        </w:rPr>
      </w:pPr>
    </w:p>
    <w:p w:rsidR="00D77CB0" w:rsidRPr="006B46EB" w:rsidRDefault="00D77CB0" w:rsidP="00D77CB0">
      <w:pPr>
        <w:pStyle w:val="StandardWeb"/>
        <w:rPr>
          <w:rFonts w:ascii="Calibri" w:hAnsi="Calibri" w:cs="Calibri"/>
          <w:sz w:val="32"/>
          <w:szCs w:val="32"/>
        </w:rPr>
      </w:pPr>
      <w:r w:rsidRPr="006B46EB">
        <w:rPr>
          <w:rFonts w:ascii="Calibri" w:hAnsi="Calibri" w:cs="Calibri"/>
          <w:b/>
          <w:bCs/>
          <w:sz w:val="32"/>
          <w:szCs w:val="32"/>
        </w:rPr>
        <w:t>Behandlung</w:t>
      </w:r>
    </w:p>
    <w:p w:rsidR="00D77CB0" w:rsidRDefault="00D77CB0" w:rsidP="00D77CB0">
      <w:pPr>
        <w:pStyle w:val="StandardWeb"/>
        <w:rPr>
          <w:rFonts w:ascii="Calibri" w:hAnsi="Calibri" w:cs="Calibri"/>
          <w:sz w:val="32"/>
          <w:szCs w:val="32"/>
        </w:rPr>
      </w:pPr>
      <w:proofErr w:type="spellStart"/>
      <w:r w:rsidRPr="006B46EB">
        <w:rPr>
          <w:rFonts w:ascii="Calibri" w:hAnsi="Calibri" w:cs="Calibri"/>
          <w:sz w:val="32"/>
          <w:szCs w:val="32"/>
        </w:rPr>
        <w:t>Hyponatriämie</w:t>
      </w:r>
      <w:proofErr w:type="spellEnd"/>
      <w:r w:rsidRPr="006B46EB">
        <w:rPr>
          <w:rFonts w:ascii="Calibri" w:hAnsi="Calibri" w:cs="Calibri"/>
          <w:sz w:val="32"/>
          <w:szCs w:val="32"/>
        </w:rPr>
        <w:t xml:space="preserve"> ist nicht selten und ist behandlungsbedürftig. Besonders ältere Menschen sind normalerweise betroffen. Wenn es zu neuropsychiatrischen Komplikationen kommt ist die Prognose in der Regel ernst, sonst erholen sich viele Patienten ausgesprochen gut. Asymptomatisch ist sie in der Regel harmlos. S</w:t>
      </w:r>
      <w:r w:rsidRPr="006B46EB">
        <w:rPr>
          <w:rFonts w:ascii="Calibri" w:hAnsi="Calibri" w:cs="Calibri"/>
          <w:sz w:val="32"/>
          <w:szCs w:val="32"/>
        </w:rPr>
        <w:t>y</w:t>
      </w:r>
      <w:r w:rsidRPr="006B46EB">
        <w:rPr>
          <w:rFonts w:ascii="Calibri" w:hAnsi="Calibri" w:cs="Calibri"/>
          <w:sz w:val="32"/>
          <w:szCs w:val="32"/>
        </w:rPr>
        <w:t xml:space="preserve">mptomatische </w:t>
      </w:r>
      <w:proofErr w:type="spellStart"/>
      <w:r w:rsidRPr="006B46EB">
        <w:rPr>
          <w:rFonts w:ascii="Calibri" w:hAnsi="Calibri" w:cs="Calibri"/>
          <w:sz w:val="32"/>
          <w:szCs w:val="32"/>
        </w:rPr>
        <w:lastRenderedPageBreak/>
        <w:t>Hyponatriämie</w:t>
      </w:r>
      <w:proofErr w:type="spellEnd"/>
      <w:r w:rsidRPr="006B46EB">
        <w:rPr>
          <w:rFonts w:ascii="Calibri" w:hAnsi="Calibri" w:cs="Calibri"/>
          <w:sz w:val="32"/>
          <w:szCs w:val="32"/>
        </w:rPr>
        <w:t xml:space="preserve"> muss behandelt werden in der Regel mit hypertonen Kochsalzlösungen. Der Ausgleich sollte auf ungefähr 10 mmol/L in den ersten 24 bis 48 Stunden begrenzt werden. Serumnatriumsubstitutionen von </w:t>
      </w:r>
      <w:proofErr w:type="spellStart"/>
      <w:r w:rsidRPr="006B46EB">
        <w:rPr>
          <w:rFonts w:ascii="Calibri" w:hAnsi="Calibri" w:cs="Calibri"/>
          <w:sz w:val="32"/>
          <w:szCs w:val="32"/>
        </w:rPr>
        <w:t>Hyponatriämien</w:t>
      </w:r>
      <w:proofErr w:type="spellEnd"/>
      <w:r w:rsidRPr="006B46EB">
        <w:rPr>
          <w:rFonts w:ascii="Calibri" w:hAnsi="Calibri" w:cs="Calibri"/>
          <w:sz w:val="32"/>
          <w:szCs w:val="32"/>
        </w:rPr>
        <w:t xml:space="preserve"> speziell alkoholkranker und mangelernährter Patienten über 10 mmol/l in 24 Stunden (0,4 mmol/l/h) gelten als Pathogenese osmotischer </w:t>
      </w:r>
      <w:proofErr w:type="spellStart"/>
      <w:r w:rsidRPr="006B46EB">
        <w:rPr>
          <w:rFonts w:ascii="Calibri" w:hAnsi="Calibri" w:cs="Calibri"/>
          <w:sz w:val="32"/>
          <w:szCs w:val="32"/>
        </w:rPr>
        <w:t>Myelinolysen</w:t>
      </w:r>
      <w:proofErr w:type="spellEnd"/>
      <w:r w:rsidRPr="006B46EB">
        <w:rPr>
          <w:rFonts w:ascii="Calibri" w:hAnsi="Calibri" w:cs="Calibri"/>
          <w:sz w:val="32"/>
          <w:szCs w:val="32"/>
        </w:rPr>
        <w:t xml:space="preserve">. Bei schwerer </w:t>
      </w:r>
      <w:proofErr w:type="spellStart"/>
      <w:r w:rsidRPr="006B46EB">
        <w:rPr>
          <w:rFonts w:ascii="Calibri" w:hAnsi="Calibri" w:cs="Calibri"/>
          <w:sz w:val="32"/>
          <w:szCs w:val="32"/>
        </w:rPr>
        <w:t>Hyponatriämie</w:t>
      </w:r>
      <w:proofErr w:type="spellEnd"/>
      <w:r w:rsidRPr="006B46EB">
        <w:rPr>
          <w:rFonts w:ascii="Calibri" w:hAnsi="Calibri" w:cs="Calibri"/>
          <w:sz w:val="32"/>
          <w:szCs w:val="32"/>
        </w:rPr>
        <w:t xml:space="preserve"> und gleichzeitiger erhöhter Natriumausscheidung: </w:t>
      </w:r>
      <w:proofErr w:type="spellStart"/>
      <w:r w:rsidRPr="006B46EB">
        <w:rPr>
          <w:rFonts w:ascii="Calibri" w:hAnsi="Calibri" w:cs="Calibri"/>
          <w:sz w:val="32"/>
          <w:szCs w:val="32"/>
        </w:rPr>
        <w:t>Declomycin</w:t>
      </w:r>
      <w:proofErr w:type="spellEnd"/>
      <w:r w:rsidRPr="006B46EB">
        <w:rPr>
          <w:rFonts w:ascii="Calibri" w:hAnsi="Calibri" w:cs="Calibri"/>
          <w:sz w:val="32"/>
          <w:szCs w:val="32"/>
        </w:rPr>
        <w:t xml:space="preserve"> 2x600 mg </w:t>
      </w:r>
      <w:proofErr w:type="spellStart"/>
      <w:r w:rsidRPr="006B46EB">
        <w:rPr>
          <w:rFonts w:ascii="Calibri" w:hAnsi="Calibri" w:cs="Calibri"/>
          <w:sz w:val="32"/>
          <w:szCs w:val="32"/>
        </w:rPr>
        <w:t>p.o</w:t>
      </w:r>
      <w:proofErr w:type="spellEnd"/>
      <w:r w:rsidRPr="006B46EB">
        <w:rPr>
          <w:rFonts w:ascii="Calibri" w:hAnsi="Calibri" w:cs="Calibri"/>
          <w:sz w:val="32"/>
          <w:szCs w:val="32"/>
        </w:rPr>
        <w:t>. (oder Magensonde) am ersten Tag, dann weiter mit 1 x 600 mg/die.</w:t>
      </w:r>
      <w:r w:rsidRPr="006B46EB">
        <w:rPr>
          <w:rFonts w:ascii="Calibri" w:hAnsi="Calibri" w:cs="Calibri"/>
          <w:b/>
          <w:bCs/>
          <w:sz w:val="32"/>
          <w:szCs w:val="32"/>
        </w:rPr>
        <w:t xml:space="preserve"> </w:t>
      </w:r>
      <w:r w:rsidRPr="006B46EB">
        <w:rPr>
          <w:rFonts w:ascii="Calibri" w:hAnsi="Calibri" w:cs="Calibri"/>
          <w:sz w:val="32"/>
          <w:szCs w:val="32"/>
        </w:rPr>
        <w:t xml:space="preserve">Bei </w:t>
      </w:r>
      <w:proofErr w:type="spellStart"/>
      <w:r w:rsidRPr="006B46EB">
        <w:rPr>
          <w:rFonts w:ascii="Calibri" w:hAnsi="Calibri" w:cs="Calibri"/>
          <w:sz w:val="32"/>
          <w:szCs w:val="32"/>
        </w:rPr>
        <w:t>hypovolämischer</w:t>
      </w:r>
      <w:proofErr w:type="spellEnd"/>
      <w:r w:rsidRPr="006B46EB">
        <w:rPr>
          <w:rFonts w:ascii="Calibri" w:hAnsi="Calibri" w:cs="Calibri"/>
          <w:sz w:val="32"/>
          <w:szCs w:val="32"/>
        </w:rPr>
        <w:t xml:space="preserve"> Dehydration kann </w:t>
      </w:r>
      <w:proofErr w:type="spellStart"/>
      <w:r w:rsidRPr="006B46EB">
        <w:rPr>
          <w:rFonts w:ascii="Calibri" w:hAnsi="Calibri" w:cs="Calibri"/>
          <w:sz w:val="32"/>
          <w:szCs w:val="32"/>
        </w:rPr>
        <w:t>isotone</w:t>
      </w:r>
      <w:proofErr w:type="spellEnd"/>
      <w:r w:rsidRPr="006B46EB">
        <w:rPr>
          <w:rFonts w:ascii="Calibri" w:hAnsi="Calibri" w:cs="Calibri"/>
          <w:sz w:val="32"/>
          <w:szCs w:val="32"/>
        </w:rPr>
        <w:t xml:space="preserve"> Kochsalzlösung gegeben werden. Bei </w:t>
      </w:r>
      <w:proofErr w:type="spellStart"/>
      <w:r w:rsidRPr="006B46EB">
        <w:rPr>
          <w:rFonts w:ascii="Calibri" w:hAnsi="Calibri" w:cs="Calibri"/>
          <w:sz w:val="32"/>
          <w:szCs w:val="32"/>
        </w:rPr>
        <w:t>euvolämischen</w:t>
      </w:r>
      <w:proofErr w:type="spellEnd"/>
      <w:r w:rsidRPr="006B46EB">
        <w:rPr>
          <w:rFonts w:ascii="Calibri" w:hAnsi="Calibri" w:cs="Calibri"/>
          <w:sz w:val="32"/>
          <w:szCs w:val="32"/>
        </w:rPr>
        <w:t xml:space="preserve"> Zuständen Flüssigkeitsrestriktion auf 1L/Tag und </w:t>
      </w:r>
      <w:proofErr w:type="spellStart"/>
      <w:r w:rsidRPr="006B46EB">
        <w:rPr>
          <w:rFonts w:ascii="Calibri" w:hAnsi="Calibri" w:cs="Calibri"/>
          <w:sz w:val="32"/>
          <w:szCs w:val="32"/>
        </w:rPr>
        <w:t>evtl</w:t>
      </w:r>
      <w:proofErr w:type="spellEnd"/>
      <w:r w:rsidRPr="006B46EB">
        <w:rPr>
          <w:rFonts w:ascii="Calibri" w:hAnsi="Calibri" w:cs="Calibri"/>
          <w:sz w:val="32"/>
          <w:szCs w:val="32"/>
        </w:rPr>
        <w:t xml:space="preserve"> </w:t>
      </w:r>
      <w:proofErr w:type="spellStart"/>
      <w:r w:rsidRPr="006B46EB">
        <w:rPr>
          <w:rFonts w:ascii="Calibri" w:hAnsi="Calibri" w:cs="Calibri"/>
          <w:sz w:val="32"/>
          <w:szCs w:val="32"/>
        </w:rPr>
        <w:t>Demeclocyclin</w:t>
      </w:r>
      <w:proofErr w:type="spellEnd"/>
      <w:r w:rsidRPr="006B46EB">
        <w:rPr>
          <w:rFonts w:ascii="Calibri" w:hAnsi="Calibri" w:cs="Calibri"/>
          <w:sz w:val="32"/>
          <w:szCs w:val="32"/>
        </w:rPr>
        <w:t xml:space="preserve"> (600-1200 mg/</w:t>
      </w:r>
      <w:proofErr w:type="spellStart"/>
      <w:r w:rsidRPr="006B46EB">
        <w:rPr>
          <w:rFonts w:ascii="Calibri" w:hAnsi="Calibri" w:cs="Calibri"/>
          <w:sz w:val="32"/>
          <w:szCs w:val="32"/>
        </w:rPr>
        <w:t>day</w:t>
      </w:r>
      <w:proofErr w:type="spellEnd"/>
      <w:r w:rsidRPr="006B46EB">
        <w:rPr>
          <w:rFonts w:ascii="Calibri" w:hAnsi="Calibri" w:cs="Calibri"/>
          <w:sz w:val="32"/>
          <w:szCs w:val="32"/>
        </w:rPr>
        <w:t xml:space="preserve">), bei Symptomatik intravenös 3%ige hypertone Salzlösung, </w:t>
      </w:r>
      <w:proofErr w:type="spellStart"/>
      <w:r w:rsidRPr="006B46EB">
        <w:rPr>
          <w:rFonts w:ascii="Calibri" w:hAnsi="Calibri" w:cs="Calibri"/>
          <w:sz w:val="32"/>
          <w:szCs w:val="32"/>
        </w:rPr>
        <w:t>hypervolämisch</w:t>
      </w:r>
      <w:proofErr w:type="spellEnd"/>
      <w:r w:rsidRPr="006B46EB">
        <w:rPr>
          <w:rFonts w:ascii="Calibri" w:hAnsi="Calibri" w:cs="Calibri"/>
          <w:sz w:val="32"/>
          <w:szCs w:val="32"/>
        </w:rPr>
        <w:t xml:space="preserve"> Behandlung der Ursache, Flüssigkeitsrestriktion auf 1L/Tag und </w:t>
      </w:r>
      <w:proofErr w:type="spellStart"/>
      <w:r w:rsidRPr="006B46EB">
        <w:rPr>
          <w:rFonts w:ascii="Calibri" w:hAnsi="Calibri" w:cs="Calibri"/>
          <w:sz w:val="32"/>
          <w:szCs w:val="32"/>
        </w:rPr>
        <w:t>evtl</w:t>
      </w:r>
      <w:proofErr w:type="spellEnd"/>
      <w:r w:rsidRPr="006B46EB">
        <w:rPr>
          <w:rFonts w:ascii="Calibri" w:hAnsi="Calibri" w:cs="Calibri"/>
          <w:sz w:val="32"/>
          <w:szCs w:val="32"/>
        </w:rPr>
        <w:t xml:space="preserve"> </w:t>
      </w:r>
      <w:proofErr w:type="spellStart"/>
      <w:r w:rsidRPr="006B46EB">
        <w:rPr>
          <w:rFonts w:ascii="Calibri" w:hAnsi="Calibri" w:cs="Calibri"/>
          <w:sz w:val="32"/>
          <w:szCs w:val="32"/>
        </w:rPr>
        <w:t>Demeclocyclin</w:t>
      </w:r>
      <w:proofErr w:type="spellEnd"/>
      <w:r w:rsidRPr="006B46EB">
        <w:rPr>
          <w:rFonts w:ascii="Calibri" w:hAnsi="Calibri" w:cs="Calibri"/>
          <w:sz w:val="32"/>
          <w:szCs w:val="32"/>
        </w:rPr>
        <w:t xml:space="preserve"> (600-1200 mg/</w:t>
      </w:r>
      <w:proofErr w:type="spellStart"/>
      <w:r w:rsidRPr="006B46EB">
        <w:rPr>
          <w:rFonts w:ascii="Calibri" w:hAnsi="Calibri" w:cs="Calibri"/>
          <w:sz w:val="32"/>
          <w:szCs w:val="32"/>
        </w:rPr>
        <w:t>day</w:t>
      </w:r>
      <w:proofErr w:type="spellEnd"/>
      <w:r w:rsidRPr="006B46EB">
        <w:rPr>
          <w:rFonts w:ascii="Calibri" w:hAnsi="Calibri" w:cs="Calibri"/>
          <w:sz w:val="32"/>
          <w:szCs w:val="32"/>
        </w:rPr>
        <w:t>) (2006;332;702-705 BMJ)</w:t>
      </w:r>
    </w:p>
    <w:p w:rsidR="006B46EB" w:rsidRDefault="006B46EB" w:rsidP="006B46EB">
      <w:pPr>
        <w:spacing w:after="0" w:line="240" w:lineRule="auto"/>
        <w:rPr>
          <w:sz w:val="32"/>
          <w:szCs w:val="32"/>
        </w:rPr>
      </w:pPr>
      <w:r>
        <w:rPr>
          <w:sz w:val="32"/>
          <w:szCs w:val="32"/>
        </w:rPr>
        <w:t>Verwandte Themen, Literatur:</w:t>
      </w:r>
    </w:p>
    <w:p w:rsidR="006B46EB" w:rsidRPr="00FA2720" w:rsidRDefault="006B46EB" w:rsidP="006B46EB">
      <w:pPr>
        <w:pStyle w:val="Listenabsatz"/>
        <w:numPr>
          <w:ilvl w:val="0"/>
          <w:numId w:val="1"/>
        </w:numPr>
        <w:spacing w:after="0" w:line="240" w:lineRule="auto"/>
        <w:rPr>
          <w:sz w:val="32"/>
          <w:szCs w:val="32"/>
        </w:rPr>
      </w:pPr>
      <w:r>
        <w:rPr>
          <w:rFonts w:ascii="Arial" w:hAnsi="Arial" w:cs="Arial"/>
          <w:color w:val="000000"/>
          <w:sz w:val="20"/>
          <w:szCs w:val="20"/>
        </w:rPr>
        <w:t xml:space="preserve">Psychiatrie aktuell, 19/07/2001 - Ecstasy kann tödliches Hirnödem auslösen nach </w:t>
      </w:r>
      <w:r>
        <w:rPr>
          <w:rFonts w:ascii="Arial" w:hAnsi="Arial" w:cs="Arial"/>
          <w:i/>
          <w:iCs/>
          <w:color w:val="000000"/>
          <w:sz w:val="20"/>
          <w:szCs w:val="20"/>
        </w:rPr>
        <w:t>DMW 2001; 126: S. 809 - 811).</w:t>
      </w:r>
      <w:hyperlink r:id="rId9" w:history="1">
        <w:r>
          <w:rPr>
            <w:rStyle w:val="Hyperlink"/>
            <w:rFonts w:ascii="Arial" w:hAnsi="Arial" w:cs="Arial"/>
            <w:sz w:val="20"/>
            <w:szCs w:val="20"/>
          </w:rPr>
          <w:t>http://www.psychiatrie-aktuell.de/news/detail_fachforum.jhtml?itemname=news_370</w:t>
        </w:r>
      </w:hyperlink>
    </w:p>
    <w:p w:rsidR="006B46EB" w:rsidRPr="00FA2720" w:rsidRDefault="006B46EB" w:rsidP="006B46EB">
      <w:pPr>
        <w:pStyle w:val="Listenabsatz"/>
        <w:numPr>
          <w:ilvl w:val="0"/>
          <w:numId w:val="1"/>
        </w:numPr>
        <w:spacing w:after="0" w:line="240" w:lineRule="auto"/>
        <w:rPr>
          <w:sz w:val="32"/>
          <w:szCs w:val="32"/>
        </w:rPr>
      </w:pPr>
      <w:r>
        <w:rPr>
          <w:rFonts w:ascii="Arial" w:hAnsi="Arial" w:cs="Arial"/>
          <w:color w:val="000000"/>
          <w:sz w:val="20"/>
          <w:szCs w:val="20"/>
        </w:rPr>
        <w:t xml:space="preserve">T. Münzer, B.M. </w:t>
      </w:r>
      <w:proofErr w:type="spellStart"/>
      <w:r>
        <w:rPr>
          <w:rFonts w:ascii="Arial" w:hAnsi="Arial" w:cs="Arial"/>
          <w:color w:val="000000"/>
          <w:sz w:val="20"/>
          <w:szCs w:val="20"/>
        </w:rPr>
        <w:t>Gründler</w:t>
      </w:r>
      <w:proofErr w:type="spellEnd"/>
      <w:r>
        <w:rPr>
          <w:rFonts w:ascii="Arial" w:hAnsi="Arial" w:cs="Arial"/>
          <w:color w:val="000000"/>
          <w:sz w:val="20"/>
          <w:szCs w:val="20"/>
        </w:rPr>
        <w:t xml:space="preserve">, M. Miller, Rezidivierende </w:t>
      </w:r>
      <w:proofErr w:type="spellStart"/>
      <w:r>
        <w:rPr>
          <w:rFonts w:ascii="Arial" w:hAnsi="Arial" w:cs="Arial"/>
          <w:color w:val="000000"/>
          <w:sz w:val="20"/>
          <w:szCs w:val="20"/>
        </w:rPr>
        <w:t>Hyponatriämien</w:t>
      </w:r>
      <w:proofErr w:type="spellEnd"/>
      <w:r>
        <w:rPr>
          <w:rFonts w:ascii="Arial" w:hAnsi="Arial" w:cs="Arial"/>
          <w:color w:val="000000"/>
          <w:sz w:val="20"/>
          <w:szCs w:val="20"/>
        </w:rPr>
        <w:t xml:space="preserve">, neurologische Symptomatik und jahrelange Einnahme von </w:t>
      </w:r>
      <w:proofErr w:type="spellStart"/>
      <w:r>
        <w:rPr>
          <w:rFonts w:ascii="Arial" w:hAnsi="Arial" w:cs="Arial"/>
          <w:color w:val="000000"/>
          <w:sz w:val="20"/>
          <w:szCs w:val="20"/>
        </w:rPr>
        <w:t>Levomepromazin</w:t>
      </w:r>
      <w:proofErr w:type="spellEnd"/>
      <w:r>
        <w:rPr>
          <w:rFonts w:ascii="Arial" w:hAnsi="Arial" w:cs="Arial"/>
          <w:color w:val="000000"/>
          <w:sz w:val="20"/>
          <w:szCs w:val="20"/>
        </w:rPr>
        <w:t>,  PRAXIS, Schweizerische Rundschau für Medizin, Band 88, 1999 Heft 6 © Verlag Hans Huber AG, Bern</w:t>
      </w:r>
    </w:p>
    <w:p w:rsidR="006B46EB" w:rsidRPr="00D77CB0" w:rsidRDefault="006B46EB" w:rsidP="006B46EB">
      <w:pPr>
        <w:pStyle w:val="Listenabsatz"/>
        <w:numPr>
          <w:ilvl w:val="0"/>
          <w:numId w:val="1"/>
        </w:numPr>
        <w:spacing w:after="0" w:line="240" w:lineRule="auto"/>
        <w:rPr>
          <w:sz w:val="32"/>
          <w:szCs w:val="32"/>
        </w:rPr>
      </w:pPr>
      <w:r>
        <w:rPr>
          <w:rFonts w:ascii="Arial" w:hAnsi="Arial" w:cs="Arial"/>
          <w:color w:val="000000"/>
          <w:sz w:val="20"/>
          <w:szCs w:val="20"/>
        </w:rPr>
        <w:t xml:space="preserve">UAW: </w:t>
      </w:r>
      <w:proofErr w:type="spellStart"/>
      <w:r>
        <w:rPr>
          <w:rFonts w:ascii="Arial" w:hAnsi="Arial" w:cs="Arial"/>
          <w:color w:val="000000"/>
          <w:sz w:val="20"/>
          <w:szCs w:val="20"/>
        </w:rPr>
        <w:t>Paroxetin</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Hyponatriämie</w:t>
      </w:r>
      <w:proofErr w:type="spellEnd"/>
      <w:r>
        <w:rPr>
          <w:rFonts w:ascii="Arial" w:hAnsi="Arial" w:cs="Arial"/>
          <w:color w:val="000000"/>
          <w:sz w:val="20"/>
          <w:szCs w:val="20"/>
        </w:rPr>
        <w:t>; Deutsches Ärzteblatt 101, Ausgabe 24 vom 11.06.2004, Seite A-1766</w:t>
      </w:r>
      <w:hyperlink r:id="rId10" w:history="1">
        <w:r>
          <w:rPr>
            <w:rStyle w:val="Hyperlink"/>
            <w:rFonts w:ascii="Arial" w:hAnsi="Arial" w:cs="Arial"/>
            <w:sz w:val="20"/>
            <w:szCs w:val="20"/>
          </w:rPr>
          <w:t>HTML</w:t>
        </w:r>
      </w:hyperlink>
      <w:r>
        <w:rPr>
          <w:rFonts w:ascii="Arial" w:hAnsi="Arial" w:cs="Arial"/>
          <w:color w:val="000000"/>
          <w:sz w:val="20"/>
          <w:szCs w:val="20"/>
        </w:rPr>
        <w:t xml:space="preserve"> | </w:t>
      </w:r>
      <w:hyperlink r:id="rId11" w:tgtFrame="_blank" w:history="1">
        <w:r>
          <w:rPr>
            <w:rStyle w:val="Hyperlink"/>
            <w:rFonts w:ascii="Arial" w:hAnsi="Arial" w:cs="Arial"/>
            <w:sz w:val="20"/>
            <w:szCs w:val="20"/>
          </w:rPr>
          <w:t>PDF</w:t>
        </w:r>
      </w:hyperlink>
    </w:p>
    <w:p w:rsidR="006B46EB" w:rsidRPr="00D77CB0" w:rsidRDefault="006B46EB" w:rsidP="006B46EB">
      <w:pPr>
        <w:pStyle w:val="Listenabsatz"/>
        <w:numPr>
          <w:ilvl w:val="0"/>
          <w:numId w:val="1"/>
        </w:numPr>
        <w:spacing w:after="0" w:line="240" w:lineRule="auto"/>
        <w:rPr>
          <w:sz w:val="32"/>
          <w:szCs w:val="32"/>
        </w:rPr>
      </w:pPr>
      <w:r>
        <w:rPr>
          <w:rFonts w:ascii="Arial" w:hAnsi="Arial" w:cs="Arial"/>
          <w:color w:val="000000"/>
          <w:sz w:val="20"/>
          <w:szCs w:val="20"/>
        </w:rPr>
        <w:t xml:space="preserve">Michael N. </w:t>
      </w:r>
      <w:proofErr w:type="spellStart"/>
      <w:r>
        <w:rPr>
          <w:rFonts w:ascii="Arial" w:hAnsi="Arial" w:cs="Arial"/>
          <w:color w:val="000000"/>
          <w:sz w:val="20"/>
          <w:szCs w:val="20"/>
        </w:rPr>
        <w:t>Diringer</w:t>
      </w:r>
      <w:proofErr w:type="spellEnd"/>
      <w:r>
        <w:rPr>
          <w:rFonts w:ascii="Arial" w:hAnsi="Arial" w:cs="Arial"/>
          <w:color w:val="000000"/>
          <w:sz w:val="20"/>
          <w:szCs w:val="20"/>
        </w:rPr>
        <w:t xml:space="preserve">, Allyson R. </w:t>
      </w:r>
      <w:proofErr w:type="spellStart"/>
      <w:r>
        <w:rPr>
          <w:rFonts w:ascii="Arial" w:hAnsi="Arial" w:cs="Arial"/>
          <w:color w:val="000000"/>
          <w:sz w:val="20"/>
          <w:szCs w:val="20"/>
        </w:rPr>
        <w:t>Zazulia</w:t>
      </w:r>
      <w:proofErr w:type="spellEnd"/>
      <w:r>
        <w:rPr>
          <w:rFonts w:ascii="Arial" w:hAnsi="Arial" w:cs="Arial"/>
          <w:color w:val="000000"/>
          <w:sz w:val="20"/>
          <w:szCs w:val="20"/>
        </w:rPr>
        <w:t xml:space="preserve">, </w:t>
      </w:r>
      <w:proofErr w:type="spellStart"/>
      <w:r>
        <w:rPr>
          <w:rFonts w:ascii="Arial" w:hAnsi="Arial" w:cs="Arial"/>
          <w:color w:val="000000"/>
          <w:sz w:val="20"/>
          <w:szCs w:val="20"/>
        </w:rPr>
        <w:t>Hyponatremia</w:t>
      </w:r>
      <w:proofErr w:type="spellEnd"/>
      <w:r>
        <w:rPr>
          <w:rFonts w:ascii="Arial" w:hAnsi="Arial" w:cs="Arial"/>
          <w:color w:val="000000"/>
          <w:sz w:val="20"/>
          <w:szCs w:val="20"/>
        </w:rPr>
        <w:t xml:space="preserve"> in </w:t>
      </w:r>
      <w:proofErr w:type="spellStart"/>
      <w:r>
        <w:rPr>
          <w:rFonts w:ascii="Arial" w:hAnsi="Arial" w:cs="Arial"/>
          <w:color w:val="000000"/>
          <w:sz w:val="20"/>
          <w:szCs w:val="20"/>
        </w:rPr>
        <w:t>Neurologic</w:t>
      </w:r>
      <w:proofErr w:type="spellEnd"/>
      <w:r>
        <w:rPr>
          <w:rFonts w:ascii="Arial" w:hAnsi="Arial" w:cs="Arial"/>
          <w:color w:val="000000"/>
          <w:sz w:val="20"/>
          <w:szCs w:val="20"/>
        </w:rPr>
        <w:t xml:space="preserve"> </w:t>
      </w:r>
      <w:proofErr w:type="spellStart"/>
      <w:r>
        <w:rPr>
          <w:rFonts w:ascii="Arial" w:hAnsi="Arial" w:cs="Arial"/>
          <w:color w:val="000000"/>
          <w:sz w:val="20"/>
          <w:szCs w:val="20"/>
        </w:rPr>
        <w:t>Patients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Consequences</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Fonts w:ascii="Arial" w:hAnsi="Arial" w:cs="Arial"/>
          <w:color w:val="000000"/>
          <w:sz w:val="20"/>
          <w:szCs w:val="20"/>
        </w:rPr>
        <w:t>Approaches</w:t>
      </w:r>
      <w:proofErr w:type="spellEnd"/>
      <w:r>
        <w:rPr>
          <w:rFonts w:ascii="Arial" w:hAnsi="Arial" w:cs="Arial"/>
          <w:color w:val="000000"/>
          <w:sz w:val="20"/>
          <w:szCs w:val="20"/>
        </w:rPr>
        <w:t xml:space="preserve"> </w:t>
      </w:r>
      <w:proofErr w:type="spellStart"/>
      <w:r>
        <w:rPr>
          <w:rFonts w:ascii="Arial" w:hAnsi="Arial" w:cs="Arial"/>
          <w:color w:val="000000"/>
          <w:sz w:val="20"/>
          <w:szCs w:val="20"/>
        </w:rPr>
        <w:t>to</w:t>
      </w:r>
      <w:proofErr w:type="spellEnd"/>
      <w:r>
        <w:rPr>
          <w:rFonts w:ascii="Arial" w:hAnsi="Arial" w:cs="Arial"/>
          <w:color w:val="000000"/>
          <w:sz w:val="20"/>
          <w:szCs w:val="20"/>
        </w:rPr>
        <w:t xml:space="preserve"> Treatment; The </w:t>
      </w:r>
      <w:proofErr w:type="spellStart"/>
      <w:r>
        <w:rPr>
          <w:rFonts w:ascii="Arial" w:hAnsi="Arial" w:cs="Arial"/>
          <w:color w:val="000000"/>
          <w:sz w:val="20"/>
          <w:szCs w:val="20"/>
        </w:rPr>
        <w:t>Neurologist</w:t>
      </w:r>
      <w:proofErr w:type="spellEnd"/>
      <w:r>
        <w:rPr>
          <w:rFonts w:ascii="Arial" w:hAnsi="Arial" w:cs="Arial"/>
          <w:color w:val="000000"/>
          <w:sz w:val="20"/>
          <w:szCs w:val="20"/>
        </w:rPr>
        <w:t xml:space="preserve"> 2006;12: 117–126)</w:t>
      </w:r>
    </w:p>
    <w:p w:rsidR="006B46EB" w:rsidRPr="00D77CB0" w:rsidRDefault="006B46EB" w:rsidP="006B46EB">
      <w:pPr>
        <w:pStyle w:val="Listenabsatz"/>
        <w:numPr>
          <w:ilvl w:val="0"/>
          <w:numId w:val="1"/>
        </w:numPr>
        <w:spacing w:after="0" w:line="240" w:lineRule="auto"/>
        <w:rPr>
          <w:sz w:val="32"/>
          <w:szCs w:val="32"/>
        </w:rPr>
      </w:pPr>
      <w:r>
        <w:rPr>
          <w:rFonts w:ascii="Arial" w:hAnsi="Arial" w:cs="Arial"/>
          <w:sz w:val="20"/>
          <w:szCs w:val="20"/>
        </w:rPr>
        <w:t xml:space="preserve">Moritz ML, </w:t>
      </w:r>
      <w:proofErr w:type="spellStart"/>
      <w:r>
        <w:rPr>
          <w:rFonts w:ascii="Arial" w:hAnsi="Arial" w:cs="Arial"/>
          <w:sz w:val="20"/>
          <w:szCs w:val="20"/>
        </w:rPr>
        <w:t>Ayus</w:t>
      </w:r>
      <w:proofErr w:type="spellEnd"/>
      <w:r>
        <w:rPr>
          <w:rFonts w:ascii="Arial" w:hAnsi="Arial" w:cs="Arial"/>
          <w:sz w:val="20"/>
          <w:szCs w:val="20"/>
        </w:rPr>
        <w:t xml:space="preserve"> JC. </w:t>
      </w:r>
      <w:proofErr w:type="spellStart"/>
      <w:r>
        <w:rPr>
          <w:rFonts w:ascii="Arial" w:hAnsi="Arial" w:cs="Arial"/>
          <w:sz w:val="20"/>
          <w:szCs w:val="20"/>
        </w:rPr>
        <w:t>Disorders</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water</w:t>
      </w:r>
      <w:proofErr w:type="spellEnd"/>
      <w:r>
        <w:rPr>
          <w:rFonts w:ascii="Arial" w:hAnsi="Arial" w:cs="Arial"/>
          <w:sz w:val="20"/>
          <w:szCs w:val="20"/>
        </w:rPr>
        <w:t xml:space="preserve"> </w:t>
      </w:r>
      <w:proofErr w:type="spellStart"/>
      <w:r>
        <w:rPr>
          <w:rFonts w:ascii="Arial" w:hAnsi="Arial" w:cs="Arial"/>
          <w:sz w:val="20"/>
          <w:szCs w:val="20"/>
        </w:rPr>
        <w:t>metabolism</w:t>
      </w:r>
      <w:proofErr w:type="spellEnd"/>
      <w:r>
        <w:rPr>
          <w:rFonts w:ascii="Arial" w:hAnsi="Arial" w:cs="Arial"/>
          <w:sz w:val="20"/>
          <w:szCs w:val="20"/>
        </w:rPr>
        <w:t xml:space="preserve"> in </w:t>
      </w:r>
      <w:proofErr w:type="spellStart"/>
      <w:r>
        <w:rPr>
          <w:rFonts w:ascii="Arial" w:hAnsi="Arial" w:cs="Arial"/>
          <w:sz w:val="20"/>
          <w:szCs w:val="20"/>
        </w:rPr>
        <w:t>children</w:t>
      </w:r>
      <w:proofErr w:type="spellEnd"/>
      <w:r>
        <w:rPr>
          <w:rFonts w:ascii="Arial" w:hAnsi="Arial" w:cs="Arial"/>
          <w:sz w:val="20"/>
          <w:szCs w:val="20"/>
        </w:rPr>
        <w:t xml:space="preserve">: </w:t>
      </w:r>
      <w:proofErr w:type="spellStart"/>
      <w:r>
        <w:rPr>
          <w:rFonts w:ascii="Arial" w:hAnsi="Arial" w:cs="Arial"/>
          <w:sz w:val="20"/>
          <w:szCs w:val="20"/>
        </w:rPr>
        <w:t>hyponatremia</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Fonts w:ascii="Arial" w:hAnsi="Arial" w:cs="Arial"/>
          <w:sz w:val="20"/>
          <w:szCs w:val="20"/>
        </w:rPr>
        <w:t>hypernatremia</w:t>
      </w:r>
      <w:proofErr w:type="spellEnd"/>
      <w:r>
        <w:rPr>
          <w:rFonts w:ascii="Arial" w:hAnsi="Arial" w:cs="Arial"/>
          <w:sz w:val="20"/>
          <w:szCs w:val="20"/>
        </w:rPr>
        <w:t>.</w:t>
      </w:r>
      <w:hyperlink r:id="rId12" w:tgtFrame="_blank" w:history="1">
        <w:r>
          <w:rPr>
            <w:rStyle w:val="Hyperlink"/>
            <w:rFonts w:ascii="Arial" w:hAnsi="Arial" w:cs="Arial"/>
            <w:sz w:val="20"/>
            <w:szCs w:val="20"/>
          </w:rPr>
          <w:t xml:space="preserve"> </w:t>
        </w:r>
        <w:proofErr w:type="spellStart"/>
        <w:r>
          <w:rPr>
            <w:rStyle w:val="Hyperlink"/>
            <w:rFonts w:ascii="Arial" w:hAnsi="Arial" w:cs="Arial"/>
            <w:sz w:val="20"/>
            <w:szCs w:val="20"/>
          </w:rPr>
          <w:t>Pediatr</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Rev</w:t>
        </w:r>
        <w:proofErr w:type="spellEnd"/>
        <w:r>
          <w:rPr>
            <w:rStyle w:val="Hyperlink"/>
            <w:rFonts w:ascii="Arial" w:hAnsi="Arial" w:cs="Arial"/>
            <w:sz w:val="20"/>
            <w:szCs w:val="20"/>
          </w:rPr>
          <w:t xml:space="preserve"> 2002; 23: 371–80</w:t>
        </w:r>
      </w:hyperlink>
    </w:p>
    <w:p w:rsidR="006B46EB" w:rsidRPr="00D77CB0" w:rsidRDefault="006B46EB" w:rsidP="006B46EB">
      <w:pPr>
        <w:pStyle w:val="Listenabsatz"/>
        <w:numPr>
          <w:ilvl w:val="0"/>
          <w:numId w:val="1"/>
        </w:numPr>
        <w:spacing w:after="0" w:line="240" w:lineRule="auto"/>
        <w:rPr>
          <w:sz w:val="32"/>
          <w:szCs w:val="32"/>
        </w:rPr>
      </w:pPr>
      <w:r>
        <w:rPr>
          <w:rFonts w:ascii="Arial" w:hAnsi="Arial" w:cs="Arial"/>
          <w:sz w:val="20"/>
          <w:szCs w:val="20"/>
        </w:rPr>
        <w:t xml:space="preserve">Joseph G. </w:t>
      </w:r>
      <w:proofErr w:type="spellStart"/>
      <w:r>
        <w:rPr>
          <w:rFonts w:ascii="Arial" w:hAnsi="Arial" w:cs="Arial"/>
          <w:sz w:val="20"/>
          <w:szCs w:val="20"/>
        </w:rPr>
        <w:t>Verbalis</w:t>
      </w:r>
      <w:proofErr w:type="spellEnd"/>
      <w:r>
        <w:rPr>
          <w:rFonts w:ascii="Arial" w:hAnsi="Arial" w:cs="Arial"/>
          <w:sz w:val="20"/>
          <w:szCs w:val="20"/>
        </w:rPr>
        <w:t xml:space="preserve"> et al., </w:t>
      </w:r>
      <w:proofErr w:type="spellStart"/>
      <w:r>
        <w:rPr>
          <w:rFonts w:ascii="Arial" w:hAnsi="Arial" w:cs="Arial"/>
          <w:b/>
          <w:bCs/>
          <w:sz w:val="20"/>
          <w:szCs w:val="20"/>
        </w:rPr>
        <w:t>Hyponatremia</w:t>
      </w:r>
      <w:proofErr w:type="spellEnd"/>
      <w:r>
        <w:rPr>
          <w:rFonts w:ascii="Arial" w:hAnsi="Arial" w:cs="Arial"/>
          <w:b/>
          <w:bCs/>
          <w:sz w:val="20"/>
          <w:szCs w:val="20"/>
        </w:rPr>
        <w:t xml:space="preserve"> Treatment Guidelines 2007:</w:t>
      </w:r>
      <w:r>
        <w:rPr>
          <w:rFonts w:ascii="Arial" w:hAnsi="Arial" w:cs="Arial"/>
          <w:sz w:val="20"/>
          <w:szCs w:val="20"/>
        </w:rPr>
        <w:t xml:space="preserve"> Expert Panel </w:t>
      </w:r>
      <w:proofErr w:type="spellStart"/>
      <w:r>
        <w:rPr>
          <w:rFonts w:ascii="Arial" w:hAnsi="Arial" w:cs="Arial"/>
          <w:sz w:val="20"/>
          <w:szCs w:val="20"/>
        </w:rPr>
        <w:t>Recommendations</w:t>
      </w:r>
      <w:proofErr w:type="spellEnd"/>
      <w:r>
        <w:rPr>
          <w:rFonts w:ascii="Arial" w:hAnsi="Arial" w:cs="Arial"/>
          <w:sz w:val="20"/>
          <w:szCs w:val="20"/>
        </w:rPr>
        <w:t xml:space="preserve"> </w:t>
      </w:r>
      <w:hyperlink r:id="rId13" w:tgtFrame="_blank" w:history="1">
        <w:r>
          <w:rPr>
            <w:rStyle w:val="Hyperlink"/>
            <w:rFonts w:ascii="Arial" w:hAnsi="Arial" w:cs="Arial"/>
            <w:sz w:val="20"/>
            <w:szCs w:val="20"/>
          </w:rPr>
          <w:t xml:space="preserve">The American Journal </w:t>
        </w:r>
        <w:proofErr w:type="spellStart"/>
        <w:r>
          <w:rPr>
            <w:rStyle w:val="Hyperlink"/>
            <w:rFonts w:ascii="Arial" w:hAnsi="Arial" w:cs="Arial"/>
            <w:sz w:val="20"/>
            <w:szCs w:val="20"/>
          </w:rPr>
          <w:t>of</w:t>
        </w:r>
        <w:proofErr w:type="spellEnd"/>
        <w:r>
          <w:rPr>
            <w:rStyle w:val="Hyperlink"/>
            <w:rFonts w:ascii="Arial" w:hAnsi="Arial" w:cs="Arial"/>
            <w:sz w:val="20"/>
            <w:szCs w:val="20"/>
          </w:rPr>
          <w:t xml:space="preserve"> </w:t>
        </w:r>
        <w:proofErr w:type="spellStart"/>
        <w:r>
          <w:rPr>
            <w:rStyle w:val="Hyperlink"/>
            <w:rFonts w:ascii="Arial" w:hAnsi="Arial" w:cs="Arial"/>
            <w:sz w:val="20"/>
            <w:szCs w:val="20"/>
          </w:rPr>
          <w:t>Medicine</w:t>
        </w:r>
        <w:proofErr w:type="spellEnd"/>
        <w:r>
          <w:rPr>
            <w:rStyle w:val="Hyperlink"/>
            <w:rFonts w:ascii="Arial" w:hAnsi="Arial" w:cs="Arial"/>
            <w:sz w:val="20"/>
            <w:szCs w:val="20"/>
          </w:rPr>
          <w:t xml:space="preserve"> (2007) </w:t>
        </w:r>
        <w:proofErr w:type="spellStart"/>
        <w:r>
          <w:rPr>
            <w:rStyle w:val="Hyperlink"/>
            <w:rFonts w:ascii="Arial" w:hAnsi="Arial" w:cs="Arial"/>
            <w:sz w:val="20"/>
            <w:szCs w:val="20"/>
          </w:rPr>
          <w:t>Vol</w:t>
        </w:r>
        <w:proofErr w:type="spellEnd"/>
        <w:r>
          <w:rPr>
            <w:rStyle w:val="Hyperlink"/>
            <w:rFonts w:ascii="Arial" w:hAnsi="Arial" w:cs="Arial"/>
            <w:sz w:val="20"/>
            <w:szCs w:val="20"/>
          </w:rPr>
          <w:t xml:space="preserve"> 120 (11A), S1–S21</w:t>
        </w:r>
      </w:hyperlink>
    </w:p>
    <w:p w:rsidR="006B46EB" w:rsidRPr="00D77CB0" w:rsidRDefault="006B46EB" w:rsidP="006B46EB">
      <w:pPr>
        <w:pStyle w:val="Listenabsatz"/>
        <w:numPr>
          <w:ilvl w:val="0"/>
          <w:numId w:val="1"/>
        </w:numPr>
        <w:spacing w:after="0" w:line="240" w:lineRule="auto"/>
        <w:rPr>
          <w:sz w:val="32"/>
          <w:szCs w:val="32"/>
        </w:rPr>
      </w:pPr>
      <w:proofErr w:type="spellStart"/>
      <w:r>
        <w:rPr>
          <w:rFonts w:ascii="Arial" w:hAnsi="Arial" w:cs="Arial"/>
          <w:sz w:val="20"/>
          <w:szCs w:val="20"/>
        </w:rPr>
        <w:t>Adrogue</w:t>
      </w:r>
      <w:proofErr w:type="spellEnd"/>
      <w:r>
        <w:rPr>
          <w:rFonts w:ascii="Arial" w:hAnsi="Arial" w:cs="Arial"/>
          <w:sz w:val="20"/>
          <w:szCs w:val="20"/>
        </w:rPr>
        <w:t xml:space="preserve"> HJ, </w:t>
      </w:r>
      <w:proofErr w:type="spellStart"/>
      <w:r>
        <w:rPr>
          <w:rFonts w:ascii="Arial" w:hAnsi="Arial" w:cs="Arial"/>
          <w:sz w:val="20"/>
          <w:szCs w:val="20"/>
        </w:rPr>
        <w:t>Madias</w:t>
      </w:r>
      <w:proofErr w:type="spellEnd"/>
      <w:r>
        <w:rPr>
          <w:rFonts w:ascii="Arial" w:hAnsi="Arial" w:cs="Arial"/>
          <w:sz w:val="20"/>
          <w:szCs w:val="20"/>
        </w:rPr>
        <w:t xml:space="preserve"> NE. </w:t>
      </w:r>
      <w:proofErr w:type="spellStart"/>
      <w:r>
        <w:rPr>
          <w:rFonts w:ascii="Arial" w:hAnsi="Arial" w:cs="Arial"/>
          <w:sz w:val="20"/>
          <w:szCs w:val="20"/>
        </w:rPr>
        <w:t>Hyponatremia</w:t>
      </w:r>
      <w:proofErr w:type="spellEnd"/>
      <w:r>
        <w:rPr>
          <w:rFonts w:ascii="Arial" w:hAnsi="Arial" w:cs="Arial"/>
          <w:sz w:val="20"/>
          <w:szCs w:val="20"/>
        </w:rPr>
        <w:t>.  </w:t>
      </w:r>
      <w:hyperlink r:id="rId14" w:tgtFrame="_blank" w:history="1">
        <w:r>
          <w:rPr>
            <w:rStyle w:val="Hyperlink"/>
            <w:rFonts w:ascii="Arial" w:hAnsi="Arial" w:cs="Arial"/>
            <w:i/>
            <w:iCs/>
            <w:sz w:val="20"/>
            <w:szCs w:val="20"/>
          </w:rPr>
          <w:t xml:space="preserve">N Engl J </w:t>
        </w:r>
        <w:proofErr w:type="spellStart"/>
        <w:r>
          <w:rPr>
            <w:rStyle w:val="Hyperlink"/>
            <w:rFonts w:ascii="Arial" w:hAnsi="Arial" w:cs="Arial"/>
            <w:i/>
            <w:iCs/>
            <w:sz w:val="20"/>
            <w:szCs w:val="20"/>
          </w:rPr>
          <w:t>Med</w:t>
        </w:r>
        <w:proofErr w:type="spellEnd"/>
        <w:r>
          <w:rPr>
            <w:rStyle w:val="Hyperlink"/>
            <w:rFonts w:ascii="Arial" w:hAnsi="Arial" w:cs="Arial"/>
            <w:i/>
            <w:iCs/>
            <w:sz w:val="20"/>
            <w:szCs w:val="20"/>
          </w:rPr>
          <w:t xml:space="preserve"> </w:t>
        </w:r>
        <w:r>
          <w:rPr>
            <w:rStyle w:val="Hyperlink"/>
            <w:rFonts w:ascii="Arial" w:hAnsi="Arial" w:cs="Arial"/>
            <w:sz w:val="20"/>
            <w:szCs w:val="20"/>
          </w:rPr>
          <w:t> 2000; 342: 1581-89.</w:t>
        </w:r>
      </w:hyperlink>
    </w:p>
    <w:p w:rsidR="006B46EB" w:rsidRDefault="006B46EB" w:rsidP="006B46EB">
      <w:pPr>
        <w:spacing w:after="0" w:line="240" w:lineRule="auto"/>
        <w:rPr>
          <w:sz w:val="32"/>
          <w:szCs w:val="32"/>
        </w:rPr>
      </w:pPr>
    </w:p>
    <w:p w:rsidR="006B46EB" w:rsidRPr="006B46EB" w:rsidRDefault="006B46EB" w:rsidP="00D77CB0">
      <w:pPr>
        <w:pStyle w:val="StandardWeb"/>
        <w:rPr>
          <w:rFonts w:ascii="Calibri" w:hAnsi="Calibri" w:cs="Calibri"/>
          <w:sz w:val="32"/>
          <w:szCs w:val="32"/>
        </w:rPr>
      </w:pPr>
      <w:bookmarkStart w:id="0" w:name="_GoBack"/>
      <w:bookmarkEnd w:id="0"/>
    </w:p>
    <w:p w:rsidR="00D77CB0" w:rsidRPr="00D77CB0" w:rsidRDefault="00D77CB0" w:rsidP="00D77CB0">
      <w:pPr>
        <w:spacing w:after="0" w:line="240" w:lineRule="auto"/>
        <w:rPr>
          <w:sz w:val="32"/>
          <w:szCs w:val="32"/>
        </w:rPr>
      </w:pPr>
    </w:p>
    <w:sectPr w:rsidR="00D77CB0" w:rsidRPr="00D77C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FA2"/>
    <w:multiLevelType w:val="hybridMultilevel"/>
    <w:tmpl w:val="B1267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537286"/>
    <w:multiLevelType w:val="multilevel"/>
    <w:tmpl w:val="A6C4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20"/>
    <w:rsid w:val="006B46EB"/>
    <w:rsid w:val="007D3BC6"/>
    <w:rsid w:val="00D77CB0"/>
    <w:rsid w:val="00FA2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2B03"/>
  <w15:chartTrackingRefBased/>
  <w15:docId w15:val="{0347145E-D3C7-404A-9C64-61506F5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A2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A2720"/>
    <w:rPr>
      <w:rFonts w:asciiTheme="majorHAnsi" w:eastAsiaTheme="majorEastAsia" w:hAnsiTheme="majorHAnsi" w:cstheme="majorBidi"/>
      <w:color w:val="2E74B5" w:themeColor="accent1" w:themeShade="BF"/>
      <w:sz w:val="26"/>
      <w:szCs w:val="26"/>
    </w:rPr>
  </w:style>
  <w:style w:type="character" w:customStyle="1" w:styleId="caps">
    <w:name w:val="caps"/>
    <w:basedOn w:val="Absatz-Standardschriftart"/>
    <w:rsid w:val="00FA2720"/>
  </w:style>
  <w:style w:type="paragraph" w:styleId="Listenabsatz">
    <w:name w:val="List Paragraph"/>
    <w:basedOn w:val="Standard"/>
    <w:uiPriority w:val="34"/>
    <w:qFormat/>
    <w:rsid w:val="00FA2720"/>
    <w:pPr>
      <w:ind w:left="720"/>
      <w:contextualSpacing/>
    </w:pPr>
  </w:style>
  <w:style w:type="character" w:styleId="Hyperlink">
    <w:name w:val="Hyperlink"/>
    <w:basedOn w:val="Absatz-Standardschriftart"/>
    <w:uiPriority w:val="99"/>
    <w:semiHidden/>
    <w:unhideWhenUsed/>
    <w:rsid w:val="00FA2720"/>
    <w:rPr>
      <w:color w:val="0000FF"/>
      <w:u w:val="single"/>
    </w:rPr>
  </w:style>
  <w:style w:type="paragraph" w:styleId="StandardWeb">
    <w:name w:val="Normal (Web)"/>
    <w:basedOn w:val="Standard"/>
    <w:uiPriority w:val="99"/>
    <w:semiHidden/>
    <w:unhideWhenUsed/>
    <w:rsid w:val="00D77CB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7458">
      <w:bodyDiv w:val="1"/>
      <w:marLeft w:val="0"/>
      <w:marRight w:val="0"/>
      <w:marTop w:val="0"/>
      <w:marBottom w:val="0"/>
      <w:divBdr>
        <w:top w:val="none" w:sz="0" w:space="0" w:color="auto"/>
        <w:left w:val="none" w:sz="0" w:space="0" w:color="auto"/>
        <w:bottom w:val="none" w:sz="0" w:space="0" w:color="auto"/>
        <w:right w:val="none" w:sz="0" w:space="0" w:color="auto"/>
      </w:divBdr>
    </w:div>
    <w:div w:id="422143717">
      <w:bodyDiv w:val="1"/>
      <w:marLeft w:val="0"/>
      <w:marRight w:val="0"/>
      <w:marTop w:val="0"/>
      <w:marBottom w:val="0"/>
      <w:divBdr>
        <w:top w:val="none" w:sz="0" w:space="0" w:color="auto"/>
        <w:left w:val="none" w:sz="0" w:space="0" w:color="auto"/>
        <w:bottom w:val="none" w:sz="0" w:space="0" w:color="auto"/>
        <w:right w:val="none" w:sz="0" w:space="0" w:color="auto"/>
      </w:divBdr>
      <w:divsChild>
        <w:div w:id="777601499">
          <w:marLeft w:val="0"/>
          <w:marRight w:val="0"/>
          <w:marTop w:val="0"/>
          <w:marBottom w:val="0"/>
          <w:divBdr>
            <w:top w:val="none" w:sz="0" w:space="0" w:color="auto"/>
            <w:left w:val="none" w:sz="0" w:space="0" w:color="auto"/>
            <w:bottom w:val="none" w:sz="0" w:space="0" w:color="auto"/>
            <w:right w:val="none" w:sz="0" w:space="0" w:color="auto"/>
          </w:divBdr>
          <w:divsChild>
            <w:div w:id="76175214">
              <w:marLeft w:val="0"/>
              <w:marRight w:val="0"/>
              <w:marTop w:val="0"/>
              <w:marBottom w:val="0"/>
              <w:divBdr>
                <w:top w:val="none" w:sz="0" w:space="0" w:color="auto"/>
                <w:left w:val="none" w:sz="0" w:space="0" w:color="auto"/>
                <w:bottom w:val="none" w:sz="0" w:space="0" w:color="auto"/>
                <w:right w:val="none" w:sz="0" w:space="0" w:color="auto"/>
              </w:divBdr>
              <w:divsChild>
                <w:div w:id="5241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5360">
      <w:bodyDiv w:val="1"/>
      <w:marLeft w:val="0"/>
      <w:marRight w:val="0"/>
      <w:marTop w:val="0"/>
      <w:marBottom w:val="0"/>
      <w:divBdr>
        <w:top w:val="none" w:sz="0" w:space="0" w:color="auto"/>
        <w:left w:val="none" w:sz="0" w:space="0" w:color="auto"/>
        <w:bottom w:val="none" w:sz="0" w:space="0" w:color="auto"/>
        <w:right w:val="none" w:sz="0" w:space="0" w:color="auto"/>
      </w:divBdr>
      <w:divsChild>
        <w:div w:id="1071270852">
          <w:marLeft w:val="0"/>
          <w:marRight w:val="0"/>
          <w:marTop w:val="0"/>
          <w:marBottom w:val="0"/>
          <w:divBdr>
            <w:top w:val="none" w:sz="0" w:space="0" w:color="auto"/>
            <w:left w:val="none" w:sz="0" w:space="0" w:color="auto"/>
            <w:bottom w:val="none" w:sz="0" w:space="0" w:color="auto"/>
            <w:right w:val="none" w:sz="0" w:space="0" w:color="auto"/>
          </w:divBdr>
          <w:divsChild>
            <w:div w:id="1658876404">
              <w:marLeft w:val="0"/>
              <w:marRight w:val="0"/>
              <w:marTop w:val="0"/>
              <w:marBottom w:val="0"/>
              <w:divBdr>
                <w:top w:val="none" w:sz="0" w:space="0" w:color="auto"/>
                <w:left w:val="none" w:sz="0" w:space="0" w:color="auto"/>
                <w:bottom w:val="none" w:sz="0" w:space="0" w:color="auto"/>
                <w:right w:val="none" w:sz="0" w:space="0" w:color="auto"/>
              </w:divBdr>
              <w:divsChild>
                <w:div w:id="15520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zinfo.de/neurologie/koma/start.shtml" TargetMode="External"/><Relationship Id="rId13" Type="http://schemas.openxmlformats.org/officeDocument/2006/relationships/hyperlink" Target="http://www.ninerx.com/smf/index.php?action=dlattach;topic=1838.0;attach=4011" TargetMode="External"/><Relationship Id="rId3" Type="http://schemas.openxmlformats.org/officeDocument/2006/relationships/settings" Target="settings.xml"/><Relationship Id="rId7" Type="http://schemas.openxmlformats.org/officeDocument/2006/relationships/hyperlink" Target="http://www.medizinfo.de/schmerz/migraene/migraene.htm" TargetMode="External"/><Relationship Id="rId12" Type="http://schemas.openxmlformats.org/officeDocument/2006/relationships/hyperlink" Target="http://pedsinreview.aappublications.org/cgi/content/full/23/11/371?ijkey=a02121bd44487a7a3dbed9e868d2bd8181fee30e&amp;keytype2=tf_ipsecsh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izinfo.de/ernaehrung/essstoerungen/magersucht/start.shtml" TargetMode="External"/><Relationship Id="rId11" Type="http://schemas.openxmlformats.org/officeDocument/2006/relationships/hyperlink" Target="http://www.aerzteblatt.de/v4/archiv/pdf.asp?id=4235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erzteblatt.de/v4/archiv/artikel.asp?id=42357" TargetMode="External"/><Relationship Id="rId4" Type="http://schemas.openxmlformats.org/officeDocument/2006/relationships/webSettings" Target="webSettings.xml"/><Relationship Id="rId9" Type="http://schemas.openxmlformats.org/officeDocument/2006/relationships/hyperlink" Target="http://www.psychiatrie-aktuell.de/news/detail_fachforum.jhtml?itemname=news_370" TargetMode="External"/><Relationship Id="rId14" Type="http://schemas.openxmlformats.org/officeDocument/2006/relationships/hyperlink" Target="http://content.nejm.org/cgi/reprint/342/21/1581.pdf?andorexacttitleabs=and&amp;search_tab=articles&amp;tocsectionid=Original+Articles&amp;tocsectionid=Special+Reports&amp;tocsectionid=Special+Articles&amp;tocsectionid=Clinical+Practice&amp;tocsectionid=Review+ArticlesAORB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2016-12-16T06:22:00Z</dcterms:created>
  <dcterms:modified xsi:type="dcterms:W3CDTF">2016-12-16T06:56:00Z</dcterms:modified>
</cp:coreProperties>
</file>